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486" w:rsidRPr="00BC1CCD" w:rsidRDefault="0009377A" w:rsidP="001A1486">
      <w:pPr>
        <w:rPr>
          <w:rStyle w:val="tit1"/>
          <w:rFonts w:ascii="Verdana" w:hAnsi="Verdana" w:cs="Arial"/>
          <w:color w:val="008000"/>
          <w:sz w:val="28"/>
          <w:szCs w:val="28"/>
        </w:rPr>
      </w:pPr>
      <w:r>
        <w:rPr>
          <w:rFonts w:ascii="Verdana" w:hAnsi="Verdana" w:cs="Arial"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5237480</wp:posOffset>
            </wp:positionH>
            <wp:positionV relativeFrom="paragraph">
              <wp:posOffset>-726440</wp:posOffset>
            </wp:positionV>
            <wp:extent cx="1083310" cy="1169670"/>
            <wp:effectExtent l="19050" t="0" r="2540" b="0"/>
            <wp:wrapSquare wrapText="bothSides"/>
            <wp:docPr id="3" name="obrázek 3" descr="POSAZA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SAZAV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169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6043" w:rsidRPr="007F6043">
        <w:rPr>
          <w:rFonts w:ascii="Verdana" w:hAnsi="Verdana" w:cs="Arial"/>
          <w:noProof/>
          <w:color w:val="008000"/>
          <w:sz w:val="28"/>
          <w:szCs w:val="28"/>
        </w:rPr>
        <w:pict>
          <v:rect id="_x0000_s1026" style="position:absolute;margin-left:-1in;margin-top:-1in;width:603pt;height:117pt;z-index:-251658240;mso-position-horizontal-relative:text;mso-position-vertical-relative:text" fillcolor="#eaf1dd" strokecolor="#f2f2f2" strokeweight="3pt">
            <v:fill opacity="0" rotate="t"/>
            <v:shadow on="t" type="perspective" color="#4e6128" opacity=".5" offset="1pt" offset2="-1pt"/>
          </v:rect>
        </w:pict>
      </w:r>
      <w:r w:rsidR="00547371" w:rsidRPr="00BC1CCD">
        <w:rPr>
          <w:rStyle w:val="tit1"/>
          <w:rFonts w:ascii="Verdana" w:hAnsi="Verdana" w:cs="Arial"/>
          <w:color w:val="008000"/>
          <w:sz w:val="28"/>
          <w:szCs w:val="28"/>
        </w:rPr>
        <w:t>TISKOVÁ ZPRÁVA</w:t>
      </w:r>
    </w:p>
    <w:p w:rsidR="007E5486" w:rsidRDefault="001A1486" w:rsidP="00633ED1">
      <w:pPr>
        <w:rPr>
          <w:rStyle w:val="tit1"/>
          <w:rFonts w:ascii="Verdana" w:hAnsi="Verdana"/>
          <w:sz w:val="22"/>
          <w:szCs w:val="22"/>
        </w:rPr>
      </w:pPr>
      <w:r>
        <w:rPr>
          <w:rStyle w:val="tit1"/>
          <w:rFonts w:ascii="Verdana" w:hAnsi="Verdana"/>
          <w:sz w:val="22"/>
          <w:szCs w:val="22"/>
        </w:rPr>
        <w:tab/>
      </w:r>
    </w:p>
    <w:p w:rsidR="007E5486" w:rsidRDefault="007E5486" w:rsidP="00E606C8">
      <w:pPr>
        <w:jc w:val="both"/>
        <w:rPr>
          <w:rStyle w:val="tit1"/>
          <w:rFonts w:ascii="Verdana" w:hAnsi="Verdana"/>
          <w:sz w:val="22"/>
          <w:szCs w:val="22"/>
        </w:rPr>
      </w:pPr>
    </w:p>
    <w:p w:rsidR="007E5486" w:rsidRDefault="007E5486" w:rsidP="00E606C8">
      <w:pPr>
        <w:jc w:val="both"/>
        <w:rPr>
          <w:rStyle w:val="tit1"/>
          <w:rFonts w:ascii="Verdana" w:hAnsi="Verdana"/>
          <w:sz w:val="22"/>
          <w:szCs w:val="22"/>
        </w:rPr>
      </w:pPr>
    </w:p>
    <w:p w:rsidR="00FC61B0" w:rsidRPr="00FC61B0" w:rsidRDefault="00FC61B0" w:rsidP="00FC61B0">
      <w:pPr>
        <w:jc w:val="both"/>
        <w:rPr>
          <w:rFonts w:ascii="Arial" w:hAnsi="Arial" w:cs="Arial"/>
          <w:b/>
        </w:rPr>
      </w:pPr>
      <w:r w:rsidRPr="00FC61B0">
        <w:rPr>
          <w:rFonts w:ascii="Arial" w:hAnsi="Arial" w:cs="Arial"/>
          <w:b/>
        </w:rPr>
        <w:t>V Týnci nad Sázavou se vzpomínalo na sázavské „plavce“</w:t>
      </w: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>Život sázavských „plavců“, kteří v minulosti dopravovali po řece dříví a další náklady, přiblížila akce Voraři na Sázavě. V Týnci nad Sázavou ji v sobotu uspořádala společnost Posázaví o.p.s. spolu s partnery. Pokusila se tak připomenou</w:t>
      </w:r>
      <w:r w:rsidR="00BB13CD">
        <w:rPr>
          <w:rFonts w:ascii="Arial" w:hAnsi="Arial" w:cs="Arial"/>
          <w:sz w:val="20"/>
          <w:szCs w:val="20"/>
        </w:rPr>
        <w:t>t</w:t>
      </w:r>
      <w:r w:rsidRPr="00FC61B0">
        <w:rPr>
          <w:rFonts w:ascii="Arial" w:hAnsi="Arial" w:cs="Arial"/>
          <w:sz w:val="20"/>
          <w:szCs w:val="20"/>
        </w:rPr>
        <w:t xml:space="preserve"> jedno téměř zapomenuté řemeslo. Jak to tenkrát na řece Sázavě vypadalo, se návštěvníci dověděli z dobových fotografií. Mohli si také prohlédnout model voru nebo ochutnat speciální vorařské menu z hrníčku přezdívaného „plaváček“, který nesměl chybět ve výbavě žádného „plavce“. Pro děti byly připraveny hry a soutěže.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 xml:space="preserve">Sedmiletý Kuba se činil u stolku se skládačkou puzzle. „Nebylo to těžké, poskládal jsem </w:t>
      </w:r>
      <w:r>
        <w:rPr>
          <w:rFonts w:ascii="Arial" w:hAnsi="Arial" w:cs="Arial"/>
          <w:sz w:val="20"/>
          <w:szCs w:val="20"/>
        </w:rPr>
        <w:t>t</w:t>
      </w:r>
      <w:r w:rsidRPr="00FC61B0">
        <w:rPr>
          <w:rFonts w:ascii="Arial" w:hAnsi="Arial" w:cs="Arial"/>
          <w:sz w:val="20"/>
          <w:szCs w:val="20"/>
        </w:rPr>
        <w:t xml:space="preserve">o sám,“ hlásil hrdě. </w:t>
      </w:r>
      <w:r w:rsidR="00BB13CD">
        <w:rPr>
          <w:rFonts w:ascii="Arial" w:hAnsi="Arial" w:cs="Arial"/>
          <w:sz w:val="20"/>
          <w:szCs w:val="20"/>
        </w:rPr>
        <w:t>Za o</w:t>
      </w:r>
      <w:r w:rsidRPr="00FC61B0">
        <w:rPr>
          <w:rFonts w:ascii="Arial" w:hAnsi="Arial" w:cs="Arial"/>
          <w:sz w:val="20"/>
          <w:szCs w:val="20"/>
        </w:rPr>
        <w:t>dměnu dostal žlutý nafukovací balonek a barevný časopis Posázavské Kukátko –</w:t>
      </w:r>
      <w:r>
        <w:rPr>
          <w:rFonts w:ascii="Arial" w:hAnsi="Arial" w:cs="Arial"/>
          <w:sz w:val="20"/>
          <w:szCs w:val="20"/>
        </w:rPr>
        <w:t xml:space="preserve"> </w:t>
      </w:r>
      <w:r w:rsidRPr="00FC61B0">
        <w:rPr>
          <w:rFonts w:ascii="Arial" w:hAnsi="Arial" w:cs="Arial"/>
          <w:sz w:val="20"/>
          <w:szCs w:val="20"/>
        </w:rPr>
        <w:t>dokáže si ho už prý přečíst sám.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 xml:space="preserve">Modely prámů v měřítku 1:43 stavěl před zraky příchozích Václav Pošmurný. „Inspiraci jsem hledal hlavně na internetu. Třeba </w:t>
      </w:r>
      <w:r>
        <w:rPr>
          <w:rFonts w:ascii="Arial" w:hAnsi="Arial" w:cs="Arial"/>
          <w:sz w:val="20"/>
          <w:szCs w:val="20"/>
        </w:rPr>
        <w:t>od</w:t>
      </w:r>
      <w:r w:rsidRPr="00FC61B0">
        <w:rPr>
          <w:rFonts w:ascii="Arial" w:hAnsi="Arial" w:cs="Arial"/>
          <w:sz w:val="20"/>
          <w:szCs w:val="20"/>
        </w:rPr>
        <w:t> expedice, která jela už dvakrát na vorech ze Štěchovic do Prahy. Vory pro ni pomáhal stavět jeden z posledních žijících vorařů Jan Havel. Problém byl ale ten, že oni stavěli vltavské vory, sázavské prámy byly menší a jednodušší. Jezdily totiž na kratší vzdálenost a až v Pikovicích, před přejezdem na Vltavu, se svazovaly vždy dva prameny k sobě. Na Sázavě nesměl být vor delší než 113 metrů, protože by některé úseky neprojel,“ popsal Václav Pošmurný.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 xml:space="preserve">Jak se plavci během cesty stravovali, napověděl speciální jídelníček týnecké Restaurace Nad Řekou. Nabízela česnekovou polévku s opečeným chlebem a kousky slaniny, kterou servírovala v kameninovém hrníčku „plaváčku“, smažené </w:t>
      </w:r>
      <w:proofErr w:type="spellStart"/>
      <w:r w:rsidRPr="00FC61B0">
        <w:rPr>
          <w:rFonts w:ascii="Arial" w:hAnsi="Arial" w:cs="Arial"/>
          <w:sz w:val="20"/>
          <w:szCs w:val="20"/>
        </w:rPr>
        <w:t>grundle</w:t>
      </w:r>
      <w:proofErr w:type="spellEnd"/>
      <w:r w:rsidRPr="00FC61B0">
        <w:rPr>
          <w:rFonts w:ascii="Arial" w:hAnsi="Arial" w:cs="Arial"/>
          <w:sz w:val="20"/>
          <w:szCs w:val="20"/>
        </w:rPr>
        <w:t xml:space="preserve"> nebo bramborák s uzeným masem. “</w:t>
      </w:r>
      <w:r w:rsidR="00BB13CD">
        <w:rPr>
          <w:rFonts w:ascii="Arial" w:hAnsi="Arial" w:cs="Arial"/>
          <w:sz w:val="20"/>
          <w:szCs w:val="20"/>
        </w:rPr>
        <w:t>Zjistil jsem, že v</w:t>
      </w:r>
      <w:r w:rsidRPr="00FC61B0">
        <w:rPr>
          <w:rFonts w:ascii="Arial" w:hAnsi="Arial" w:cs="Arial"/>
          <w:sz w:val="20"/>
          <w:szCs w:val="20"/>
        </w:rPr>
        <w:t>oraři</w:t>
      </w:r>
      <w:r w:rsidR="00BB13CD">
        <w:rPr>
          <w:rFonts w:ascii="Arial" w:hAnsi="Arial" w:cs="Arial"/>
          <w:sz w:val="20"/>
          <w:szCs w:val="20"/>
        </w:rPr>
        <w:t xml:space="preserve"> j</w:t>
      </w:r>
      <w:r w:rsidRPr="00FC61B0">
        <w:rPr>
          <w:rFonts w:ascii="Arial" w:hAnsi="Arial" w:cs="Arial"/>
          <w:sz w:val="20"/>
          <w:szCs w:val="20"/>
        </w:rPr>
        <w:t>edli třeba hrouzky a další malé rybky, které lovili přímo z řeky. My jsme museli použít, co bylo dostupné, tedy mořské ančovičky, ale ohlas u lidí byl výborný. Variantou pro ty, kteří ryby nemají rádi, byl bramborák,“ řekl majitel restaurace Jan Vávra.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 xml:space="preserve">Nápad připomenout staré řemeslo se líbil i Jaromíru </w:t>
      </w:r>
      <w:proofErr w:type="spellStart"/>
      <w:r w:rsidRPr="00FC61B0">
        <w:rPr>
          <w:rFonts w:ascii="Arial" w:hAnsi="Arial" w:cs="Arial"/>
          <w:sz w:val="20"/>
          <w:szCs w:val="20"/>
        </w:rPr>
        <w:t>Biolkovi</w:t>
      </w:r>
      <w:proofErr w:type="spellEnd"/>
      <w:r w:rsidRPr="00FC61B0">
        <w:rPr>
          <w:rFonts w:ascii="Arial" w:hAnsi="Arial" w:cs="Arial"/>
          <w:sz w:val="20"/>
          <w:szCs w:val="20"/>
        </w:rPr>
        <w:t xml:space="preserve">, majiteli outdoorového centra Bisport, které bylo jedním z partnerů akce. „Atmosféra tu byla výborná, bylo to takové nostalgické zastavení, potkal jsem tady spoustu lidí z Týnce i okolí,“ řekl. Stopy vorařů jsou podle něj na řece vidět do současnosti. „Třeba na cestě do Pikovic. Bývaly tam peřeje, které museli voraři projíždět a byla to pro ně velice náročná trasa. Pravidelně ji udržovali, odstraňovali z ní kameny. Vodáci, kteří tudy v současnosti projíždějí, to dodnes mohou vidět. Pamětníků je už ale velice málo. Přitom vorařství bylo řemeslo, které podle mě k Sázavě patří stejně jako legendární Posázavský Pacifik,“ dodal Jaromír Biolek. 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 xml:space="preserve">Akce Voraři na Sázavě byla součástí projektu „Řeky se mění“, který realizuje Posázaví o.p.s. ve spolupráci se společnostmi Lípa pro venkov </w:t>
      </w:r>
      <w:proofErr w:type="gramStart"/>
      <w:r w:rsidRPr="00FC61B0">
        <w:rPr>
          <w:rFonts w:ascii="Arial" w:hAnsi="Arial" w:cs="Arial"/>
          <w:sz w:val="20"/>
          <w:szCs w:val="20"/>
        </w:rPr>
        <w:t>o.s.</w:t>
      </w:r>
      <w:proofErr w:type="gramEnd"/>
      <w:r w:rsidRPr="00FC61B0">
        <w:rPr>
          <w:rFonts w:ascii="Arial" w:hAnsi="Arial" w:cs="Arial"/>
          <w:sz w:val="20"/>
          <w:szCs w:val="20"/>
        </w:rPr>
        <w:t>, Královská stezka o.p.s. a Rakovnicko o.p.s. Jeho hlavním cílem je zvýšit bezpečnost vodácké turistiky na řekách Sázava a Berounka a zpřístupnit ji široké veřejnosti. Součástí akce bylo také představení Desatera slušného chování na řece. Náklady na realizaci projektu jsou 3,8 milionu korun, z toho 3,4 milionu korun pokryje dotace z Programu rozvoje venkova.</w:t>
      </w:r>
    </w:p>
    <w:p w:rsidR="00FC61B0" w:rsidRP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  <w:r w:rsidRPr="00FC61B0">
        <w:rPr>
          <w:rFonts w:ascii="Arial" w:hAnsi="Arial" w:cs="Arial"/>
          <w:sz w:val="20"/>
          <w:szCs w:val="20"/>
        </w:rPr>
        <w:t>Po řece Sázavě se v minulosti vory plavily v úseku dlouhém přes 140 kilometrů, a to od Světlé nad Sázavou až po soutok s Vltavou u Davle. Život vorařů a jejich rodin na přelomu 19. a 20. století, jejich radosti, strasti, lásky i nenávisti barvitě vylíčil</w:t>
      </w:r>
      <w:r w:rsidR="00F60EE2">
        <w:rPr>
          <w:rFonts w:ascii="Arial" w:hAnsi="Arial" w:cs="Arial"/>
          <w:sz w:val="20"/>
          <w:szCs w:val="20"/>
        </w:rPr>
        <w:t xml:space="preserve"> </w:t>
      </w:r>
      <w:r w:rsidRPr="00FC61B0">
        <w:rPr>
          <w:rFonts w:ascii="Arial" w:hAnsi="Arial" w:cs="Arial"/>
          <w:sz w:val="20"/>
          <w:szCs w:val="20"/>
        </w:rPr>
        <w:t>spisovatel Jan Morávek v knize Plavci na Sázavě</w:t>
      </w:r>
      <w:r w:rsidR="00F60EE2">
        <w:rPr>
          <w:rFonts w:ascii="Arial" w:hAnsi="Arial" w:cs="Arial"/>
          <w:sz w:val="20"/>
          <w:szCs w:val="20"/>
        </w:rPr>
        <w:t xml:space="preserve"> nebo </w:t>
      </w:r>
      <w:r w:rsidRPr="00FC61B0">
        <w:rPr>
          <w:rFonts w:ascii="Arial" w:hAnsi="Arial" w:cs="Arial"/>
          <w:sz w:val="20"/>
          <w:szCs w:val="20"/>
        </w:rPr>
        <w:t xml:space="preserve">film pro pamětníky Plavecký mariáš s Jaroslavem Marvanem v hlavní roli. Odkaz Morávkova díla by v budoucnu mělo připomínat nové muzeum v Kamenném Přívozu, jehož vybudování připravuje obec ve spolupráci s Posázavím o.p.s. a dalšími partnery. </w:t>
      </w:r>
    </w:p>
    <w:p w:rsidR="00FC61B0" w:rsidRDefault="00FC61B0" w:rsidP="00FC61B0">
      <w:pPr>
        <w:jc w:val="both"/>
        <w:rPr>
          <w:rFonts w:ascii="Arial" w:hAnsi="Arial" w:cs="Arial"/>
          <w:sz w:val="20"/>
          <w:szCs w:val="20"/>
        </w:rPr>
      </w:pPr>
    </w:p>
    <w:p w:rsidR="00E71FFF" w:rsidRPr="00FC61B0" w:rsidRDefault="00E71FFF" w:rsidP="00FC61B0">
      <w:pPr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C61B0">
        <w:rPr>
          <w:rFonts w:ascii="Arial" w:hAnsi="Arial" w:cs="Arial"/>
          <w:i/>
          <w:color w:val="000000"/>
          <w:sz w:val="20"/>
          <w:szCs w:val="20"/>
        </w:rPr>
        <w:t>Jaroslava Tůmová</w:t>
      </w:r>
    </w:p>
    <w:p w:rsidR="00510EB2" w:rsidRPr="00FC61B0" w:rsidRDefault="00510EB2" w:rsidP="00E71FFF">
      <w:pPr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510EB2" w:rsidRPr="00FC61B0" w:rsidRDefault="00510EB2" w:rsidP="00510EB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FC61B0">
        <w:rPr>
          <w:rFonts w:ascii="Arial" w:hAnsi="Arial" w:cs="Arial"/>
          <w:b/>
          <w:color w:val="000000"/>
          <w:sz w:val="20"/>
          <w:szCs w:val="20"/>
        </w:rPr>
        <w:t>Kontakt pro další informace:</w:t>
      </w:r>
    </w:p>
    <w:p w:rsidR="00510EB2" w:rsidRPr="00FC61B0" w:rsidRDefault="00510EB2" w:rsidP="00510EB2">
      <w:pPr>
        <w:jc w:val="both"/>
        <w:rPr>
          <w:rFonts w:ascii="Arial" w:hAnsi="Arial" w:cs="Arial"/>
          <w:bCs/>
          <w:sz w:val="20"/>
          <w:szCs w:val="20"/>
        </w:rPr>
      </w:pPr>
      <w:r w:rsidRPr="00FC61B0">
        <w:rPr>
          <w:rFonts w:ascii="Arial" w:hAnsi="Arial" w:cs="Arial"/>
          <w:bCs/>
          <w:sz w:val="20"/>
          <w:szCs w:val="20"/>
        </w:rPr>
        <w:t>Jaroslava Tůmová,</w:t>
      </w:r>
      <w:r w:rsidRPr="00FC61B0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FC61B0">
        <w:rPr>
          <w:rFonts w:ascii="Arial" w:hAnsi="Arial" w:cs="Arial"/>
          <w:bCs/>
          <w:sz w:val="20"/>
          <w:szCs w:val="20"/>
        </w:rPr>
        <w:t xml:space="preserve">e-mail: </w:t>
      </w:r>
      <w:hyperlink r:id="rId9" w:history="1">
        <w:r w:rsidRPr="00FC61B0">
          <w:rPr>
            <w:rStyle w:val="Hypertextovodkaz"/>
            <w:rFonts w:ascii="Arial" w:hAnsi="Arial" w:cs="Arial"/>
            <w:bCs/>
            <w:sz w:val="20"/>
            <w:szCs w:val="20"/>
          </w:rPr>
          <w:t>tumova@posazavi.com</w:t>
        </w:r>
      </w:hyperlink>
      <w:r w:rsidRPr="00FC61B0">
        <w:rPr>
          <w:rFonts w:ascii="Arial" w:hAnsi="Arial" w:cs="Arial"/>
          <w:bCs/>
          <w:sz w:val="20"/>
          <w:szCs w:val="20"/>
        </w:rPr>
        <w:t>, tel. 602 216 637</w:t>
      </w:r>
    </w:p>
    <w:p w:rsidR="00510EB2" w:rsidRPr="00FC61B0" w:rsidRDefault="00510EB2" w:rsidP="00510EB2">
      <w:pPr>
        <w:jc w:val="both"/>
        <w:rPr>
          <w:rFonts w:ascii="Arial" w:hAnsi="Arial" w:cs="Arial"/>
          <w:bCs/>
          <w:sz w:val="20"/>
          <w:szCs w:val="20"/>
        </w:rPr>
      </w:pPr>
      <w:r w:rsidRPr="00FC61B0">
        <w:rPr>
          <w:rFonts w:ascii="Arial" w:hAnsi="Arial" w:cs="Arial"/>
          <w:bCs/>
          <w:sz w:val="20"/>
          <w:szCs w:val="20"/>
        </w:rPr>
        <w:t xml:space="preserve">Bohuslava Zemanová, e-mail: </w:t>
      </w:r>
      <w:hyperlink r:id="rId10" w:history="1">
        <w:r w:rsidRPr="00FC61B0">
          <w:rPr>
            <w:rStyle w:val="Hypertextovodkaz"/>
            <w:rFonts w:ascii="Arial" w:hAnsi="Arial" w:cs="Arial"/>
            <w:bCs/>
            <w:sz w:val="20"/>
            <w:szCs w:val="20"/>
          </w:rPr>
          <w:t>zemanova@posazavi.com</w:t>
        </w:r>
      </w:hyperlink>
      <w:r w:rsidRPr="00FC61B0">
        <w:rPr>
          <w:rFonts w:ascii="Arial" w:hAnsi="Arial" w:cs="Arial"/>
          <w:bCs/>
          <w:sz w:val="20"/>
          <w:szCs w:val="20"/>
        </w:rPr>
        <w:t>, tel. 723 881 081</w:t>
      </w:r>
    </w:p>
    <w:p w:rsidR="00510EB2" w:rsidRPr="00FC61B0" w:rsidRDefault="00510EB2" w:rsidP="00510EB2">
      <w:pPr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0EB2" w:rsidRPr="00FC61B0" w:rsidSect="004346E3">
      <w:footerReference w:type="default" r:id="rId11"/>
      <w:pgSz w:w="11906" w:h="16838"/>
      <w:pgMar w:top="1417" w:right="1417" w:bottom="12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691" w:rsidRDefault="00280691">
      <w:r>
        <w:separator/>
      </w:r>
    </w:p>
  </w:endnote>
  <w:endnote w:type="continuationSeparator" w:id="0">
    <w:p w:rsidR="00280691" w:rsidRDefault="002806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 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0E0" w:rsidRPr="00CC362C" w:rsidRDefault="003260E0" w:rsidP="00CC362C">
    <w:pPr>
      <w:pStyle w:val="Zpat"/>
      <w:jc w:val="center"/>
      <w:rPr>
        <w:rFonts w:ascii="Verdana" w:hAnsi="Verdana"/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691" w:rsidRDefault="00280691">
      <w:r>
        <w:separator/>
      </w:r>
    </w:p>
  </w:footnote>
  <w:footnote w:type="continuationSeparator" w:id="0">
    <w:p w:rsidR="00280691" w:rsidRDefault="002806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C2A87"/>
    <w:multiLevelType w:val="hybridMultilevel"/>
    <w:tmpl w:val="5CDCE61E"/>
    <w:lvl w:ilvl="0" w:tplc="1908AEFC">
      <w:start w:val="1"/>
      <w:numFmt w:val="bullet"/>
      <w:lvlText w:val=""/>
      <w:lvlJc w:val="left"/>
      <w:pPr>
        <w:tabs>
          <w:tab w:val="num" w:pos="567"/>
        </w:tabs>
        <w:ind w:left="510" w:hanging="397"/>
      </w:pPr>
      <w:rPr>
        <w:rFonts w:ascii="Wingdings" w:hAnsi="Wingdings" w:hint="default"/>
        <w:b w:val="0"/>
        <w:i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B37DFE"/>
    <w:multiLevelType w:val="hybridMultilevel"/>
    <w:tmpl w:val="FDFEC0BA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21C4ADB"/>
    <w:multiLevelType w:val="multilevel"/>
    <w:tmpl w:val="F99A2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08404A"/>
    <w:multiLevelType w:val="hybridMultilevel"/>
    <w:tmpl w:val="2C645D0A"/>
    <w:lvl w:ilvl="0" w:tplc="1908AEFC">
      <w:start w:val="1"/>
      <w:numFmt w:val="bullet"/>
      <w:lvlText w:val=""/>
      <w:lvlJc w:val="left"/>
      <w:pPr>
        <w:tabs>
          <w:tab w:val="num" w:pos="567"/>
        </w:tabs>
        <w:ind w:left="510" w:hanging="397"/>
      </w:pPr>
      <w:rPr>
        <w:rFonts w:ascii="Wingdings" w:hAnsi="Wingdings" w:hint="default"/>
        <w:b w:val="0"/>
        <w:i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7C2001"/>
    <w:multiLevelType w:val="multilevel"/>
    <w:tmpl w:val="E7540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8C589F"/>
    <w:multiLevelType w:val="multilevel"/>
    <w:tmpl w:val="23C6CC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74327293"/>
    <w:multiLevelType w:val="hybridMultilevel"/>
    <w:tmpl w:val="636E064C"/>
    <w:lvl w:ilvl="0" w:tplc="5E1E1818">
      <w:start w:val="2"/>
      <w:numFmt w:val="bullet"/>
      <w:lvlText w:val=""/>
      <w:lvlJc w:val="left"/>
      <w:pPr>
        <w:tabs>
          <w:tab w:val="num" w:pos="720"/>
        </w:tabs>
        <w:ind w:left="720" w:hanging="360"/>
      </w:pPr>
      <w:rPr>
        <w:rFonts w:ascii="Wingdings 2" w:eastAsia="Times New Roman" w:hAnsi="Wingdings 2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355"/>
    <w:rsid w:val="00032DC0"/>
    <w:rsid w:val="0005202B"/>
    <w:rsid w:val="0005225D"/>
    <w:rsid w:val="000638E9"/>
    <w:rsid w:val="0009377A"/>
    <w:rsid w:val="000A11E4"/>
    <w:rsid w:val="000B31F0"/>
    <w:rsid w:val="000C54C2"/>
    <w:rsid w:val="000C791E"/>
    <w:rsid w:val="000D41B3"/>
    <w:rsid w:val="001206EF"/>
    <w:rsid w:val="00131AA3"/>
    <w:rsid w:val="00132AA2"/>
    <w:rsid w:val="00173945"/>
    <w:rsid w:val="00194730"/>
    <w:rsid w:val="001A1486"/>
    <w:rsid w:val="001A766D"/>
    <w:rsid w:val="001C7EB4"/>
    <w:rsid w:val="001E1A8C"/>
    <w:rsid w:val="001E3F42"/>
    <w:rsid w:val="002032C0"/>
    <w:rsid w:val="00221500"/>
    <w:rsid w:val="0022444E"/>
    <w:rsid w:val="0022793C"/>
    <w:rsid w:val="0024070E"/>
    <w:rsid w:val="002579DD"/>
    <w:rsid w:val="00280691"/>
    <w:rsid w:val="00295835"/>
    <w:rsid w:val="002A328B"/>
    <w:rsid w:val="002A42E3"/>
    <w:rsid w:val="002A7982"/>
    <w:rsid w:val="002B25ED"/>
    <w:rsid w:val="002B7C50"/>
    <w:rsid w:val="002C6A32"/>
    <w:rsid w:val="002D545F"/>
    <w:rsid w:val="00311259"/>
    <w:rsid w:val="0031528E"/>
    <w:rsid w:val="00320546"/>
    <w:rsid w:val="003260E0"/>
    <w:rsid w:val="00335524"/>
    <w:rsid w:val="00336676"/>
    <w:rsid w:val="00340239"/>
    <w:rsid w:val="0037303C"/>
    <w:rsid w:val="003A33E5"/>
    <w:rsid w:val="003E3BD0"/>
    <w:rsid w:val="003E7473"/>
    <w:rsid w:val="003F2236"/>
    <w:rsid w:val="00402285"/>
    <w:rsid w:val="004346E3"/>
    <w:rsid w:val="00442F8A"/>
    <w:rsid w:val="00452E87"/>
    <w:rsid w:val="00493909"/>
    <w:rsid w:val="004D337C"/>
    <w:rsid w:val="004D5949"/>
    <w:rsid w:val="004E6D68"/>
    <w:rsid w:val="004E7355"/>
    <w:rsid w:val="00510EB2"/>
    <w:rsid w:val="0051261F"/>
    <w:rsid w:val="00523C49"/>
    <w:rsid w:val="00547371"/>
    <w:rsid w:val="0055100E"/>
    <w:rsid w:val="00560420"/>
    <w:rsid w:val="00566C08"/>
    <w:rsid w:val="0057783D"/>
    <w:rsid w:val="00581DDE"/>
    <w:rsid w:val="0058775E"/>
    <w:rsid w:val="00590868"/>
    <w:rsid w:val="00594BA1"/>
    <w:rsid w:val="00596A3A"/>
    <w:rsid w:val="005D26CD"/>
    <w:rsid w:val="00613FB6"/>
    <w:rsid w:val="00633ED1"/>
    <w:rsid w:val="006500D1"/>
    <w:rsid w:val="00674943"/>
    <w:rsid w:val="00682782"/>
    <w:rsid w:val="0068328F"/>
    <w:rsid w:val="006856BE"/>
    <w:rsid w:val="00691142"/>
    <w:rsid w:val="0069435B"/>
    <w:rsid w:val="00696809"/>
    <w:rsid w:val="006C1AA8"/>
    <w:rsid w:val="006E11FA"/>
    <w:rsid w:val="006E5491"/>
    <w:rsid w:val="00720FF7"/>
    <w:rsid w:val="00755FD0"/>
    <w:rsid w:val="00765C51"/>
    <w:rsid w:val="00773B3F"/>
    <w:rsid w:val="00774648"/>
    <w:rsid w:val="00786B89"/>
    <w:rsid w:val="007A64ED"/>
    <w:rsid w:val="007C0538"/>
    <w:rsid w:val="007E5486"/>
    <w:rsid w:val="007F6043"/>
    <w:rsid w:val="00811EBE"/>
    <w:rsid w:val="00817724"/>
    <w:rsid w:val="008313A1"/>
    <w:rsid w:val="00854F1D"/>
    <w:rsid w:val="008573B4"/>
    <w:rsid w:val="0086226E"/>
    <w:rsid w:val="008743C3"/>
    <w:rsid w:val="00896E7E"/>
    <w:rsid w:val="00896E84"/>
    <w:rsid w:val="008B1ADD"/>
    <w:rsid w:val="008E0BC6"/>
    <w:rsid w:val="008F0E1B"/>
    <w:rsid w:val="00975079"/>
    <w:rsid w:val="009751DD"/>
    <w:rsid w:val="00982D20"/>
    <w:rsid w:val="009B35A2"/>
    <w:rsid w:val="009C6688"/>
    <w:rsid w:val="009F4342"/>
    <w:rsid w:val="00A0011B"/>
    <w:rsid w:val="00A02784"/>
    <w:rsid w:val="00A12D9C"/>
    <w:rsid w:val="00A301B9"/>
    <w:rsid w:val="00A716B6"/>
    <w:rsid w:val="00A86786"/>
    <w:rsid w:val="00A90ED3"/>
    <w:rsid w:val="00A950CF"/>
    <w:rsid w:val="00AD156B"/>
    <w:rsid w:val="00AE0691"/>
    <w:rsid w:val="00AE524B"/>
    <w:rsid w:val="00AE7AF8"/>
    <w:rsid w:val="00AF1CD4"/>
    <w:rsid w:val="00AF2F5C"/>
    <w:rsid w:val="00B00716"/>
    <w:rsid w:val="00B3052F"/>
    <w:rsid w:val="00B47FD2"/>
    <w:rsid w:val="00B54655"/>
    <w:rsid w:val="00B72AA2"/>
    <w:rsid w:val="00B749B5"/>
    <w:rsid w:val="00BA3D94"/>
    <w:rsid w:val="00BB0FAC"/>
    <w:rsid w:val="00BB13CD"/>
    <w:rsid w:val="00BB5149"/>
    <w:rsid w:val="00BC1CCD"/>
    <w:rsid w:val="00BC390D"/>
    <w:rsid w:val="00BD0A27"/>
    <w:rsid w:val="00BE0973"/>
    <w:rsid w:val="00C3144B"/>
    <w:rsid w:val="00C44D31"/>
    <w:rsid w:val="00C573B3"/>
    <w:rsid w:val="00C57757"/>
    <w:rsid w:val="00C74803"/>
    <w:rsid w:val="00C7618C"/>
    <w:rsid w:val="00C778D2"/>
    <w:rsid w:val="00C7797D"/>
    <w:rsid w:val="00CC362C"/>
    <w:rsid w:val="00CD6224"/>
    <w:rsid w:val="00CE06F2"/>
    <w:rsid w:val="00CE296B"/>
    <w:rsid w:val="00CE7E91"/>
    <w:rsid w:val="00D02A0F"/>
    <w:rsid w:val="00D26077"/>
    <w:rsid w:val="00D31BE3"/>
    <w:rsid w:val="00D406D3"/>
    <w:rsid w:val="00D52436"/>
    <w:rsid w:val="00D7180A"/>
    <w:rsid w:val="00D71C76"/>
    <w:rsid w:val="00D9720E"/>
    <w:rsid w:val="00DA6420"/>
    <w:rsid w:val="00DB573F"/>
    <w:rsid w:val="00DB5A00"/>
    <w:rsid w:val="00DC2A60"/>
    <w:rsid w:val="00DD6313"/>
    <w:rsid w:val="00DE76EE"/>
    <w:rsid w:val="00DF49A9"/>
    <w:rsid w:val="00E0035C"/>
    <w:rsid w:val="00E063DC"/>
    <w:rsid w:val="00E13D03"/>
    <w:rsid w:val="00E165B5"/>
    <w:rsid w:val="00E2429A"/>
    <w:rsid w:val="00E254F7"/>
    <w:rsid w:val="00E44C25"/>
    <w:rsid w:val="00E4538B"/>
    <w:rsid w:val="00E606C8"/>
    <w:rsid w:val="00E610F5"/>
    <w:rsid w:val="00E71FFF"/>
    <w:rsid w:val="00E84EFC"/>
    <w:rsid w:val="00E91CB2"/>
    <w:rsid w:val="00EB1D49"/>
    <w:rsid w:val="00EB48B7"/>
    <w:rsid w:val="00EC01D9"/>
    <w:rsid w:val="00EF0F4D"/>
    <w:rsid w:val="00F044DF"/>
    <w:rsid w:val="00F12307"/>
    <w:rsid w:val="00F60EE2"/>
    <w:rsid w:val="00F662C3"/>
    <w:rsid w:val="00F720BC"/>
    <w:rsid w:val="00F90758"/>
    <w:rsid w:val="00F917A8"/>
    <w:rsid w:val="00FA69D9"/>
    <w:rsid w:val="00FB3C91"/>
    <w:rsid w:val="00FC0B1D"/>
    <w:rsid w:val="00FC497D"/>
    <w:rsid w:val="00FC61B0"/>
    <w:rsid w:val="00FE2BD4"/>
    <w:rsid w:val="00FF1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dedede,#eaeae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86786"/>
    <w:rPr>
      <w:sz w:val="24"/>
      <w:szCs w:val="24"/>
    </w:rPr>
  </w:style>
  <w:style w:type="paragraph" w:styleId="Nadpis1">
    <w:name w:val="heading 1"/>
    <w:basedOn w:val="Normln"/>
    <w:next w:val="Normln"/>
    <w:qFormat/>
    <w:rsid w:val="009F43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it1">
    <w:name w:val="tit1"/>
    <w:basedOn w:val="Standardnpsmoodstavce"/>
    <w:rsid w:val="00DC2A60"/>
    <w:rPr>
      <w:b/>
      <w:bCs/>
      <w:color w:val="005C09"/>
      <w:sz w:val="25"/>
      <w:szCs w:val="25"/>
    </w:rPr>
  </w:style>
  <w:style w:type="character" w:customStyle="1" w:styleId="apollosubtitle">
    <w:name w:val="apollosubtitle"/>
    <w:basedOn w:val="Standardnpsmoodstavce"/>
    <w:rsid w:val="00DC2A60"/>
  </w:style>
  <w:style w:type="paragraph" w:styleId="Normlnweb">
    <w:name w:val="Normal (Web)"/>
    <w:basedOn w:val="Normln"/>
    <w:rsid w:val="00DC2A60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DC2A60"/>
    <w:rPr>
      <w:strike w:val="0"/>
      <w:dstrike w:val="0"/>
      <w:color w:val="158809"/>
      <w:u w:val="none"/>
      <w:effect w:val="none"/>
    </w:rPr>
  </w:style>
  <w:style w:type="paragraph" w:styleId="Zhlav">
    <w:name w:val="header"/>
    <w:basedOn w:val="Normln"/>
    <w:rsid w:val="00CC362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C362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C362C"/>
  </w:style>
  <w:style w:type="paragraph" w:customStyle="1" w:styleId="SSnormal">
    <w:name w:val="SÚSnormal"/>
    <w:basedOn w:val="Normln"/>
    <w:rsid w:val="008313A1"/>
    <w:pPr>
      <w:overflowPunct w:val="0"/>
      <w:autoSpaceDE w:val="0"/>
      <w:autoSpaceDN w:val="0"/>
      <w:adjustRightInd w:val="0"/>
      <w:textAlignment w:val="baseline"/>
    </w:pPr>
    <w:rPr>
      <w:szCs w:val="20"/>
      <w:lang w:eastAsia="en-US"/>
    </w:rPr>
  </w:style>
  <w:style w:type="character" w:styleId="Siln">
    <w:name w:val="Strong"/>
    <w:basedOn w:val="Standardnpsmoodstavce"/>
    <w:qFormat/>
    <w:rsid w:val="00EB48B7"/>
    <w:rPr>
      <w:b/>
      <w:bCs/>
    </w:rPr>
  </w:style>
  <w:style w:type="character" w:customStyle="1" w:styleId="pg-title1">
    <w:name w:val="pg-title1"/>
    <w:basedOn w:val="Standardnpsmoodstavce"/>
    <w:rsid w:val="00A0011B"/>
    <w:rPr>
      <w:rFonts w:ascii="Verdana" w:hAnsi="Verdana" w:hint="default"/>
      <w:b/>
      <w:bCs/>
      <w:color w:val="8D0000"/>
      <w:sz w:val="31"/>
      <w:szCs w:val="31"/>
    </w:rPr>
  </w:style>
  <w:style w:type="paragraph" w:customStyle="1" w:styleId="CharCharChar1CharCharCharCharCharCharCharCharChar1Char1CharChar5CharCharCharChar">
    <w:name w:val="Char Char Char1 Char Char Char Char Char Char Char Char Char1 Char1 Char Char5 Char Char Char Char"/>
    <w:basedOn w:val="Normln"/>
    <w:rsid w:val="00C44D31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styleId="Textbubliny">
    <w:name w:val="Balloon Text"/>
    <w:basedOn w:val="Normln"/>
    <w:link w:val="TextbublinyChar"/>
    <w:rsid w:val="00E91CB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91C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2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8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1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7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27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5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7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emanova@posazavi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umova@posazavi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ovni1\Data%20aplikac&#237;\Microsoft\&#352;ablony\TZ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CF71-A59E-4F44-AA41-257F3B2FE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TZ</Template>
  <TotalTime>11</TotalTime>
  <Pages>1</Pages>
  <Words>581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Region Posázaví</vt:lpstr>
    </vt:vector>
  </TitlesOfParts>
  <Company/>
  <LinksUpToDate>false</LinksUpToDate>
  <CharactersWithSpaces>4005</CharactersWithSpaces>
  <SharedDoc>false</SharedDoc>
  <HLinks>
    <vt:vector size="18" baseType="variant">
      <vt:variant>
        <vt:i4>4849752</vt:i4>
      </vt:variant>
      <vt:variant>
        <vt:i4>6</vt:i4>
      </vt:variant>
      <vt:variant>
        <vt:i4>0</vt:i4>
      </vt:variant>
      <vt:variant>
        <vt:i4>5</vt:i4>
      </vt:variant>
      <vt:variant>
        <vt:lpwstr>http://www.posazavi.com/</vt:lpwstr>
      </vt:variant>
      <vt:variant>
        <vt:lpwstr/>
      </vt:variant>
      <vt:variant>
        <vt:i4>2424846</vt:i4>
      </vt:variant>
      <vt:variant>
        <vt:i4>3</vt:i4>
      </vt:variant>
      <vt:variant>
        <vt:i4>0</vt:i4>
      </vt:variant>
      <vt:variant>
        <vt:i4>5</vt:i4>
      </vt:variant>
      <vt:variant>
        <vt:lpwstr>mailto:zemanova@posazavi.com</vt:lpwstr>
      </vt:variant>
      <vt:variant>
        <vt:lpwstr/>
      </vt:variant>
      <vt:variant>
        <vt:i4>4522111</vt:i4>
      </vt:variant>
      <vt:variant>
        <vt:i4>0</vt:i4>
      </vt:variant>
      <vt:variant>
        <vt:i4>0</vt:i4>
      </vt:variant>
      <vt:variant>
        <vt:i4>5</vt:i4>
      </vt:variant>
      <vt:variant>
        <vt:lpwstr>mailto:tumova@posazavi.com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 Posázaví</dc:title>
  <dc:subject/>
  <dc:creator>Pracovni1</dc:creator>
  <cp:keywords/>
  <dc:description/>
  <cp:lastModifiedBy>Pracovni1</cp:lastModifiedBy>
  <cp:revision>4</cp:revision>
  <dcterms:created xsi:type="dcterms:W3CDTF">2013-08-24T18:28:00Z</dcterms:created>
  <dcterms:modified xsi:type="dcterms:W3CDTF">2013-08-24T18:39:00Z</dcterms:modified>
</cp:coreProperties>
</file>